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8411" w14:textId="3A965CBA" w:rsidR="008F79F4" w:rsidRPr="008F0AB1" w:rsidRDefault="008F0AB1" w:rsidP="008F0AB1">
      <w:pPr>
        <w:ind w:left="567" w:right="566"/>
        <w:jc w:val="center"/>
        <w:rPr>
          <w:rFonts w:ascii="Times New Roman" w:hAnsi="Times New Roman" w:cs="Times New Roman"/>
          <w:b/>
          <w:bCs/>
        </w:rPr>
      </w:pPr>
      <w:r w:rsidRPr="008F0AB1">
        <w:rPr>
          <w:rFonts w:ascii="Times New Roman" w:hAnsi="Times New Roman" w:cs="Times New Roman"/>
          <w:b/>
          <w:bCs/>
        </w:rPr>
        <w:t>Эксперимент ИСКРА-В на посадочном аппарате миссии «Венера-Д»</w:t>
      </w:r>
    </w:p>
    <w:p w14:paraId="39260354" w14:textId="48274789" w:rsidR="008F0AB1" w:rsidRPr="008F0AB1" w:rsidRDefault="008F0AB1" w:rsidP="008F0AB1">
      <w:pPr>
        <w:ind w:firstLine="567"/>
        <w:jc w:val="right"/>
        <w:rPr>
          <w:rFonts w:ascii="Times New Roman" w:hAnsi="Times New Roman" w:cs="Times New Roman"/>
          <w:i/>
          <w:iCs/>
        </w:rPr>
      </w:pPr>
      <w:r w:rsidRPr="008F0AB1">
        <w:rPr>
          <w:rFonts w:ascii="Times New Roman" w:hAnsi="Times New Roman" w:cs="Times New Roman"/>
          <w:i/>
          <w:iCs/>
        </w:rPr>
        <w:t>Статус эксперимента</w:t>
      </w:r>
      <w:r w:rsidRPr="00F81EDC">
        <w:rPr>
          <w:rFonts w:ascii="Times New Roman" w:hAnsi="Times New Roman" w:cs="Times New Roman"/>
          <w:i/>
          <w:iCs/>
        </w:rPr>
        <w:t xml:space="preserve">. </w:t>
      </w:r>
      <w:r w:rsidRPr="008F0AB1">
        <w:rPr>
          <w:rFonts w:ascii="Times New Roman" w:hAnsi="Times New Roman" w:cs="Times New Roman"/>
          <w:i/>
          <w:iCs/>
        </w:rPr>
        <w:t>Краткое сообщение</w:t>
      </w:r>
      <w:r w:rsidRPr="00F81EDC">
        <w:rPr>
          <w:rFonts w:ascii="Times New Roman" w:hAnsi="Times New Roman" w:cs="Times New Roman"/>
          <w:i/>
          <w:iCs/>
        </w:rPr>
        <w:t>.</w:t>
      </w:r>
    </w:p>
    <w:p w14:paraId="025A90A6" w14:textId="00E58DE2" w:rsidR="008F0AB1" w:rsidRPr="008F0AB1" w:rsidRDefault="008F0AB1" w:rsidP="00F81EDC">
      <w:pPr>
        <w:ind w:firstLine="567"/>
        <w:jc w:val="right"/>
        <w:rPr>
          <w:rFonts w:ascii="Times New Roman" w:hAnsi="Times New Roman" w:cs="Times New Roman"/>
          <w:i/>
          <w:iCs/>
        </w:rPr>
      </w:pPr>
      <w:r w:rsidRPr="008F0AB1">
        <w:rPr>
          <w:rFonts w:ascii="Times New Roman" w:hAnsi="Times New Roman" w:cs="Times New Roman"/>
          <w:i/>
          <w:iCs/>
        </w:rPr>
        <w:t>И. Виноградов</w:t>
      </w:r>
      <w:r w:rsidR="00F81EDC" w:rsidRPr="00F81EDC">
        <w:rPr>
          <w:rFonts w:ascii="Times New Roman" w:hAnsi="Times New Roman" w:cs="Times New Roman"/>
          <w:i/>
          <w:iCs/>
        </w:rPr>
        <w:t xml:space="preserve"> (ИКИ РАН, </w:t>
      </w:r>
      <w:hyperlink r:id="rId5" w:history="1"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imant</w:t>
        </w:r>
        <w:r w:rsidR="00F81EDC" w:rsidRPr="00F81EDC">
          <w:rPr>
            <w:rStyle w:val="a3"/>
            <w:rFonts w:ascii="Times New Roman" w:hAnsi="Times New Roman" w:cs="Times New Roman"/>
            <w:i/>
            <w:iCs/>
          </w:rPr>
          <w:t>@</w:t>
        </w:r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iki</w:t>
        </w:r>
        <w:r w:rsidR="00F81EDC" w:rsidRPr="00F81EDC">
          <w:rPr>
            <w:rStyle w:val="a3"/>
            <w:rFonts w:ascii="Times New Roman" w:hAnsi="Times New Roman" w:cs="Times New Roman"/>
            <w:i/>
            <w:iCs/>
          </w:rPr>
          <w:t>.</w:t>
        </w:r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rssi</w:t>
        </w:r>
        <w:r w:rsidR="00F81EDC" w:rsidRPr="00F81EDC">
          <w:rPr>
            <w:rStyle w:val="a3"/>
            <w:rFonts w:ascii="Times New Roman" w:hAnsi="Times New Roman" w:cs="Times New Roman"/>
            <w:i/>
            <w:iCs/>
          </w:rPr>
          <w:t>.</w:t>
        </w:r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</w:hyperlink>
      <w:r w:rsidR="00F81EDC" w:rsidRPr="00F81EDC">
        <w:rPr>
          <w:rFonts w:ascii="Times New Roman" w:hAnsi="Times New Roman" w:cs="Times New Roman"/>
          <w:i/>
          <w:iCs/>
        </w:rPr>
        <w:t xml:space="preserve"> ) </w:t>
      </w:r>
      <w:r w:rsidRPr="008F0AB1">
        <w:rPr>
          <w:rFonts w:ascii="Times New Roman" w:hAnsi="Times New Roman" w:cs="Times New Roman"/>
          <w:i/>
          <w:iCs/>
        </w:rPr>
        <w:t>и рабочая группа</w:t>
      </w:r>
      <w:r w:rsidRPr="00F81EDC">
        <w:rPr>
          <w:rFonts w:ascii="Times New Roman" w:hAnsi="Times New Roman" w:cs="Times New Roman"/>
          <w:i/>
          <w:iCs/>
        </w:rPr>
        <w:t xml:space="preserve"> эксперимента</w:t>
      </w:r>
    </w:p>
    <w:p w14:paraId="13949A9B" w14:textId="77777777" w:rsidR="00D568CA" w:rsidRDefault="00D568CA" w:rsidP="00D568CA">
      <w:pPr>
        <w:jc w:val="center"/>
        <w:rPr>
          <w:rFonts w:ascii="Times New Roman" w:hAnsi="Times New Roman" w:cs="Times New Roman"/>
        </w:rPr>
      </w:pPr>
    </w:p>
    <w:p w14:paraId="5821200F" w14:textId="22E057CA" w:rsidR="008F0AB1" w:rsidRPr="00D568CA" w:rsidRDefault="007E69A9" w:rsidP="00D568CA">
      <w:pPr>
        <w:jc w:val="center"/>
        <w:rPr>
          <w:rFonts w:ascii="Times New Roman" w:hAnsi="Times New Roman" w:cs="Times New Roman"/>
          <w:b/>
          <w:bCs/>
        </w:rPr>
      </w:pPr>
      <w:r w:rsidRPr="00D568CA">
        <w:rPr>
          <w:rFonts w:ascii="Times New Roman" w:hAnsi="Times New Roman" w:cs="Times New Roman"/>
          <w:b/>
          <w:bCs/>
        </w:rPr>
        <w:t>Аннотация</w:t>
      </w:r>
    </w:p>
    <w:p w14:paraId="54588E73" w14:textId="0798126B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>В продолжение многолетних экспериментальных исследований фотохимии атмосферы Венеры предложен эксперимент ИСКРА-В</w:t>
      </w:r>
      <w:r w:rsidR="00F81EDC">
        <w:rPr>
          <w:rFonts w:ascii="Times New Roman" w:hAnsi="Times New Roman" w:cs="Times New Roman"/>
        </w:rPr>
        <w:t xml:space="preserve"> </w:t>
      </w:r>
      <w:r w:rsidR="00F81EDC" w:rsidRPr="00F81EDC">
        <w:rPr>
          <w:rFonts w:ascii="Times New Roman" w:hAnsi="Times New Roman" w:cs="Times New Roman"/>
        </w:rPr>
        <w:t>(Измерение Сернистых Компонент Разрежаемой Атмосферы Венеры)</w:t>
      </w:r>
      <w:r w:rsidRPr="008F0AB1">
        <w:rPr>
          <w:rFonts w:ascii="Times New Roman" w:hAnsi="Times New Roman" w:cs="Times New Roman"/>
        </w:rPr>
        <w:t>, целью которого является определение вертикальных профилей состава атмосферы Венеры, её сернистых компонент и малых газовых составляющих на траектории снижения посадочного аппарата отечественного проекта «Венера-Д».</w:t>
      </w:r>
    </w:p>
    <w:p w14:paraId="212E7C06" w14:textId="40471547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Активная фаза эксперимента ИСКРА-В начнётся в момент сброса защитной полусферы посадочного аппарата на высоте около 65 км и продолжится вплоть до касания поверхности Венеры. Продолжение измерений возможно и вблизи поверхности, в зоне посадки аппарата, вплоть до исчерпания его физических ресурсов. </w:t>
      </w:r>
    </w:p>
    <w:p w14:paraId="56DE802D" w14:textId="23EEC6DE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Многоканальный лазерный абсорбционный спектрометр (МЛАС) </w:t>
      </w:r>
      <w:r w:rsidR="001728B6" w:rsidRPr="002D25EE">
        <w:rPr>
          <w:rFonts w:ascii="Times New Roman" w:hAnsi="Times New Roman" w:cs="Times New Roman"/>
        </w:rPr>
        <w:t>–</w:t>
      </w:r>
      <w:r w:rsidRPr="008F0AB1">
        <w:rPr>
          <w:rFonts w:ascii="Times New Roman" w:hAnsi="Times New Roman" w:cs="Times New Roman"/>
        </w:rPr>
        <w:t xml:space="preserve"> основа прибора </w:t>
      </w:r>
      <w:r>
        <w:rPr>
          <w:rFonts w:ascii="Times New Roman" w:hAnsi="Times New Roman" w:cs="Times New Roman"/>
        </w:rPr>
        <w:br/>
      </w:r>
      <w:r w:rsidRPr="008F0AB1">
        <w:rPr>
          <w:rFonts w:ascii="Times New Roman" w:hAnsi="Times New Roman" w:cs="Times New Roman"/>
        </w:rPr>
        <w:t>ИСКРА-В. По</w:t>
      </w:r>
      <w:r w:rsidR="00F81EDC">
        <w:rPr>
          <w:rFonts w:ascii="Times New Roman" w:hAnsi="Times New Roman" w:cs="Times New Roman"/>
        </w:rPr>
        <w:t>очерёдное</w:t>
      </w:r>
      <w:r w:rsidRPr="008F0AB1">
        <w:rPr>
          <w:rFonts w:ascii="Times New Roman" w:hAnsi="Times New Roman" w:cs="Times New Roman"/>
        </w:rPr>
        <w:t xml:space="preserve"> </w:t>
      </w:r>
      <w:r w:rsidR="00F81EDC">
        <w:rPr>
          <w:rFonts w:ascii="Times New Roman" w:hAnsi="Times New Roman" w:cs="Times New Roman"/>
        </w:rPr>
        <w:t xml:space="preserve">циклическое </w:t>
      </w:r>
      <w:r w:rsidRPr="008F0AB1">
        <w:rPr>
          <w:rFonts w:ascii="Times New Roman" w:hAnsi="Times New Roman" w:cs="Times New Roman"/>
        </w:rPr>
        <w:t xml:space="preserve">включение </w:t>
      </w:r>
      <w:r w:rsidR="002D25EE">
        <w:rPr>
          <w:rFonts w:ascii="Times New Roman" w:hAnsi="Times New Roman" w:cs="Times New Roman"/>
        </w:rPr>
        <w:t>монохроматичных</w:t>
      </w:r>
      <w:r w:rsidR="002D25EE" w:rsidRPr="002D25EE">
        <w:rPr>
          <w:rFonts w:ascii="Times New Roman" w:hAnsi="Times New Roman" w:cs="Times New Roman"/>
        </w:rPr>
        <w:t xml:space="preserve"> </w:t>
      </w:r>
      <w:r w:rsidRPr="008F0AB1">
        <w:rPr>
          <w:rFonts w:ascii="Times New Roman" w:hAnsi="Times New Roman" w:cs="Times New Roman"/>
        </w:rPr>
        <w:t xml:space="preserve">перестраиваемых полупроводниковых лазеров с распределённой обратной связью – набора </w:t>
      </w:r>
      <w:r w:rsidRPr="008F0AB1">
        <w:rPr>
          <w:rFonts w:ascii="Times New Roman" w:hAnsi="Times New Roman" w:cs="Times New Roman"/>
          <w:b/>
          <w:bCs/>
        </w:rPr>
        <w:t>диодных лазеров</w:t>
      </w:r>
      <w:r w:rsidRPr="008F0AB1">
        <w:rPr>
          <w:rFonts w:ascii="Times New Roman" w:hAnsi="Times New Roman" w:cs="Times New Roman"/>
        </w:rPr>
        <w:t xml:space="preserve"> и </w:t>
      </w:r>
      <w:r w:rsidRPr="008F0AB1">
        <w:rPr>
          <w:rFonts w:ascii="Times New Roman" w:hAnsi="Times New Roman" w:cs="Times New Roman"/>
          <w:b/>
          <w:bCs/>
        </w:rPr>
        <w:t>квантовых каскадных лазеров</w:t>
      </w:r>
      <w:r w:rsidRPr="008F0AB1">
        <w:rPr>
          <w:rFonts w:ascii="Times New Roman" w:hAnsi="Times New Roman" w:cs="Times New Roman"/>
        </w:rPr>
        <w:t xml:space="preserve"> обеспечит детальное изучение состава окружающей атмосферы. Зондирующее лазерное излучение будет просвечивать рабочий объём многопроходной аналитической оптической кюветы, заполняемой газовой пробой атмосферы Венеры. </w:t>
      </w:r>
    </w:p>
    <w:p w14:paraId="30E83329" w14:textId="77777777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>Система формирования атмосферных газовых проб (АГП) обеспечит быстрое обновление газовой пробы, разрежаемой в аналитическом объёме оптической кюветы МЛАС до рабочего давления 50 мбар.</w:t>
      </w:r>
    </w:p>
    <w:p w14:paraId="56FF8C8D" w14:textId="6E976FFE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>Планируются измерения содержания следующих основных молекул и их изотопных соотношений:</w:t>
      </w:r>
      <w:r w:rsidR="00B15CC0">
        <w:rPr>
          <w:rFonts w:ascii="Times New Roman" w:hAnsi="Times New Roman" w:cs="Times New Roman"/>
        </w:rPr>
        <w:t xml:space="preserve"> </w:t>
      </w:r>
      <w:r w:rsidRPr="008F0AB1">
        <w:rPr>
          <w:rFonts w:ascii="Times New Roman" w:hAnsi="Times New Roman" w:cs="Times New Roman"/>
        </w:rPr>
        <w:br/>
        <w:t xml:space="preserve">– диоксид серы </w:t>
      </w:r>
      <w:r w:rsidRPr="008F0AB1">
        <w:rPr>
          <w:rFonts w:ascii="Times New Roman" w:hAnsi="Times New Roman" w:cs="Times New Roman"/>
          <w:b/>
          <w:bCs/>
        </w:rPr>
        <w:t>SO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</w:rPr>
        <w:t xml:space="preserve"> , монооксид углерода </w:t>
      </w:r>
      <w:r w:rsidRPr="008F0AB1">
        <w:rPr>
          <w:rFonts w:ascii="Times New Roman" w:hAnsi="Times New Roman" w:cs="Times New Roman"/>
          <w:b/>
          <w:bCs/>
        </w:rPr>
        <w:t>CO</w:t>
      </w:r>
      <w:r w:rsidRPr="008F0AB1">
        <w:rPr>
          <w:rFonts w:ascii="Times New Roman" w:hAnsi="Times New Roman" w:cs="Times New Roman"/>
        </w:rPr>
        <w:t xml:space="preserve">, углекислота </w:t>
      </w:r>
      <w:r w:rsidRPr="008F0AB1">
        <w:rPr>
          <w:rFonts w:ascii="Times New Roman" w:hAnsi="Times New Roman" w:cs="Times New Roman"/>
          <w:b/>
          <w:bCs/>
        </w:rPr>
        <w:t>CO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</w:rPr>
        <w:t xml:space="preserve"> , карбонилсульфид </w:t>
      </w:r>
      <w:r w:rsidRPr="008F0AB1">
        <w:rPr>
          <w:rFonts w:ascii="Times New Roman" w:hAnsi="Times New Roman" w:cs="Times New Roman"/>
          <w:b/>
          <w:bCs/>
        </w:rPr>
        <w:t>OCS</w:t>
      </w:r>
      <w:r w:rsidRPr="008F0AB1">
        <w:rPr>
          <w:rFonts w:ascii="Times New Roman" w:hAnsi="Times New Roman" w:cs="Times New Roman"/>
        </w:rPr>
        <w:t xml:space="preserve">, вода </w:t>
      </w:r>
      <w:r w:rsidRPr="008F0AB1">
        <w:rPr>
          <w:rFonts w:ascii="Times New Roman" w:hAnsi="Times New Roman" w:cs="Times New Roman"/>
          <w:b/>
          <w:bCs/>
        </w:rPr>
        <w:t>H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  <w:b/>
          <w:bCs/>
        </w:rPr>
        <w:t>O</w:t>
      </w:r>
      <w:r w:rsidRPr="008F0AB1">
        <w:rPr>
          <w:rFonts w:ascii="Times New Roman" w:hAnsi="Times New Roman" w:cs="Times New Roman"/>
        </w:rPr>
        <w:t xml:space="preserve">; </w:t>
      </w:r>
      <w:r w:rsidRPr="008F0AB1">
        <w:rPr>
          <w:rFonts w:ascii="Times New Roman" w:hAnsi="Times New Roman" w:cs="Times New Roman"/>
        </w:rPr>
        <w:br/>
        <w:t xml:space="preserve">– изотопные соотношения </w:t>
      </w:r>
      <w:r w:rsidRPr="008F0AB1">
        <w:rPr>
          <w:rFonts w:ascii="Times New Roman" w:hAnsi="Times New Roman" w:cs="Times New Roman"/>
          <w:b/>
          <w:bCs/>
          <w:vertAlign w:val="superscript"/>
        </w:rPr>
        <w:t>13</w:t>
      </w:r>
      <w:r w:rsidRPr="008F0AB1">
        <w:rPr>
          <w:rFonts w:ascii="Times New Roman" w:hAnsi="Times New Roman" w:cs="Times New Roman"/>
          <w:b/>
          <w:bCs/>
        </w:rPr>
        <w:t>C/</w:t>
      </w:r>
      <w:r w:rsidRPr="008F0AB1">
        <w:rPr>
          <w:rFonts w:ascii="Times New Roman" w:hAnsi="Times New Roman" w:cs="Times New Roman"/>
          <w:b/>
          <w:bCs/>
          <w:vertAlign w:val="superscript"/>
        </w:rPr>
        <w:t>12</w:t>
      </w:r>
      <w:r w:rsidRPr="008F0AB1">
        <w:rPr>
          <w:rFonts w:ascii="Times New Roman" w:hAnsi="Times New Roman" w:cs="Times New Roman"/>
          <w:b/>
          <w:bCs/>
        </w:rPr>
        <w:t>C для CO и CO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</w:rPr>
        <w:t xml:space="preserve"> , </w:t>
      </w:r>
      <w:r w:rsidRPr="008F0AB1">
        <w:rPr>
          <w:rFonts w:ascii="Times New Roman" w:hAnsi="Times New Roman" w:cs="Times New Roman"/>
          <w:b/>
          <w:bCs/>
          <w:vertAlign w:val="superscript"/>
        </w:rPr>
        <w:t>16</w:t>
      </w:r>
      <w:r w:rsidRPr="008F0AB1">
        <w:rPr>
          <w:rFonts w:ascii="Times New Roman" w:hAnsi="Times New Roman" w:cs="Times New Roman"/>
          <w:b/>
          <w:bCs/>
        </w:rPr>
        <w:t>O/</w:t>
      </w:r>
      <w:r w:rsidRPr="008F0AB1">
        <w:rPr>
          <w:rFonts w:ascii="Times New Roman" w:hAnsi="Times New Roman" w:cs="Times New Roman"/>
          <w:b/>
          <w:bCs/>
          <w:vertAlign w:val="superscript"/>
        </w:rPr>
        <w:t>17</w:t>
      </w:r>
      <w:r w:rsidRPr="008F0AB1">
        <w:rPr>
          <w:rFonts w:ascii="Times New Roman" w:hAnsi="Times New Roman" w:cs="Times New Roman"/>
          <w:b/>
          <w:bCs/>
        </w:rPr>
        <w:t>O/</w:t>
      </w:r>
      <w:r w:rsidRPr="008F0AB1">
        <w:rPr>
          <w:rFonts w:ascii="Times New Roman" w:hAnsi="Times New Roman" w:cs="Times New Roman"/>
          <w:b/>
          <w:bCs/>
          <w:vertAlign w:val="superscript"/>
        </w:rPr>
        <w:t>18</w:t>
      </w:r>
      <w:r w:rsidRPr="008F0AB1">
        <w:rPr>
          <w:rFonts w:ascii="Times New Roman" w:hAnsi="Times New Roman" w:cs="Times New Roman"/>
          <w:b/>
          <w:bCs/>
        </w:rPr>
        <w:t>O для CO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  <w:b/>
          <w:bCs/>
        </w:rPr>
        <w:t xml:space="preserve"> </w:t>
      </w:r>
      <w:r w:rsidRPr="008F0AB1">
        <w:rPr>
          <w:rFonts w:ascii="Times New Roman" w:hAnsi="Times New Roman" w:cs="Times New Roman"/>
        </w:rPr>
        <w:t xml:space="preserve">, </w:t>
      </w:r>
      <w:r w:rsidRPr="008F0AB1">
        <w:rPr>
          <w:rFonts w:ascii="Times New Roman" w:hAnsi="Times New Roman" w:cs="Times New Roman"/>
          <w:b/>
          <w:bCs/>
        </w:rPr>
        <w:t>D/H</w:t>
      </w:r>
      <w:r w:rsidRPr="008F0AB1">
        <w:rPr>
          <w:rFonts w:ascii="Times New Roman" w:hAnsi="Times New Roman" w:cs="Times New Roman"/>
        </w:rPr>
        <w:t xml:space="preserve"> </w:t>
      </w:r>
      <w:r w:rsidRPr="008F0AB1">
        <w:rPr>
          <w:rFonts w:ascii="Times New Roman" w:hAnsi="Times New Roman" w:cs="Times New Roman"/>
          <w:b/>
          <w:bCs/>
        </w:rPr>
        <w:t xml:space="preserve">и </w:t>
      </w:r>
      <w:r w:rsidRPr="008F0AB1">
        <w:rPr>
          <w:rFonts w:ascii="Times New Roman" w:hAnsi="Times New Roman" w:cs="Times New Roman"/>
          <w:b/>
          <w:bCs/>
          <w:vertAlign w:val="superscript"/>
        </w:rPr>
        <w:t>16</w:t>
      </w:r>
      <w:r w:rsidRPr="008F0AB1">
        <w:rPr>
          <w:rFonts w:ascii="Times New Roman" w:hAnsi="Times New Roman" w:cs="Times New Roman"/>
          <w:b/>
          <w:bCs/>
        </w:rPr>
        <w:t>O/</w:t>
      </w:r>
      <w:r w:rsidRPr="008F0AB1">
        <w:rPr>
          <w:rFonts w:ascii="Times New Roman" w:hAnsi="Times New Roman" w:cs="Times New Roman"/>
          <w:b/>
          <w:bCs/>
          <w:vertAlign w:val="superscript"/>
        </w:rPr>
        <w:t>17</w:t>
      </w:r>
      <w:r w:rsidRPr="008F0AB1">
        <w:rPr>
          <w:rFonts w:ascii="Times New Roman" w:hAnsi="Times New Roman" w:cs="Times New Roman"/>
          <w:b/>
          <w:bCs/>
        </w:rPr>
        <w:t>O/</w:t>
      </w:r>
      <w:r w:rsidRPr="008F0AB1">
        <w:rPr>
          <w:rFonts w:ascii="Times New Roman" w:hAnsi="Times New Roman" w:cs="Times New Roman"/>
          <w:b/>
          <w:bCs/>
          <w:vertAlign w:val="superscript"/>
        </w:rPr>
        <w:t>18</w:t>
      </w:r>
      <w:r w:rsidRPr="008F0AB1">
        <w:rPr>
          <w:rFonts w:ascii="Times New Roman" w:hAnsi="Times New Roman" w:cs="Times New Roman"/>
          <w:b/>
          <w:bCs/>
        </w:rPr>
        <w:t>O для H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  <w:b/>
          <w:bCs/>
        </w:rPr>
        <w:t>O</w:t>
      </w:r>
      <w:r w:rsidRPr="008F0AB1">
        <w:rPr>
          <w:rFonts w:ascii="Times New Roman" w:hAnsi="Times New Roman" w:cs="Times New Roman"/>
        </w:rPr>
        <w:t xml:space="preserve">,  </w:t>
      </w:r>
      <w:r w:rsidRPr="008F0AB1">
        <w:rPr>
          <w:rFonts w:ascii="Times New Roman" w:hAnsi="Times New Roman" w:cs="Times New Roman"/>
          <w:b/>
          <w:bCs/>
          <w:vertAlign w:val="superscript"/>
        </w:rPr>
        <w:t>34</w:t>
      </w:r>
      <w:r w:rsidRPr="008F0AB1">
        <w:rPr>
          <w:rFonts w:ascii="Times New Roman" w:hAnsi="Times New Roman" w:cs="Times New Roman"/>
          <w:b/>
          <w:bCs/>
        </w:rPr>
        <w:t>S/</w:t>
      </w:r>
      <w:r w:rsidRPr="008F0AB1">
        <w:rPr>
          <w:rFonts w:ascii="Times New Roman" w:hAnsi="Times New Roman" w:cs="Times New Roman"/>
          <w:b/>
          <w:bCs/>
          <w:vertAlign w:val="superscript"/>
        </w:rPr>
        <w:t>33</w:t>
      </w:r>
      <w:r w:rsidRPr="008F0AB1">
        <w:rPr>
          <w:rFonts w:ascii="Times New Roman" w:hAnsi="Times New Roman" w:cs="Times New Roman"/>
          <w:b/>
          <w:bCs/>
        </w:rPr>
        <w:t>S/</w:t>
      </w:r>
      <w:r w:rsidRPr="008F0AB1">
        <w:rPr>
          <w:rFonts w:ascii="Times New Roman" w:hAnsi="Times New Roman" w:cs="Times New Roman"/>
          <w:b/>
          <w:bCs/>
          <w:vertAlign w:val="superscript"/>
        </w:rPr>
        <w:t>32</w:t>
      </w:r>
      <w:r w:rsidRPr="008F0AB1">
        <w:rPr>
          <w:rFonts w:ascii="Times New Roman" w:hAnsi="Times New Roman" w:cs="Times New Roman"/>
          <w:b/>
          <w:bCs/>
        </w:rPr>
        <w:t>S</w:t>
      </w:r>
      <w:r w:rsidR="007C2800" w:rsidRPr="00F81EDC">
        <w:rPr>
          <w:rFonts w:ascii="Times New Roman" w:hAnsi="Times New Roman" w:cs="Times New Roman"/>
          <w:b/>
          <w:bCs/>
        </w:rPr>
        <w:t xml:space="preserve"> для</w:t>
      </w:r>
      <w:r w:rsidRPr="008F0AB1">
        <w:rPr>
          <w:rFonts w:ascii="Times New Roman" w:hAnsi="Times New Roman" w:cs="Times New Roman"/>
          <w:b/>
          <w:bCs/>
        </w:rPr>
        <w:t xml:space="preserve"> OCS</w:t>
      </w:r>
      <w:r w:rsidRPr="008F0AB1">
        <w:rPr>
          <w:rFonts w:ascii="Times New Roman" w:hAnsi="Times New Roman" w:cs="Times New Roman"/>
        </w:rPr>
        <w:t>.</w:t>
      </w:r>
    </w:p>
    <w:p w14:paraId="24BFE334" w14:textId="7C1DA6E8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Присущее </w:t>
      </w:r>
      <w:r w:rsidR="00492D43">
        <w:rPr>
          <w:rFonts w:ascii="Times New Roman" w:hAnsi="Times New Roman" w:cs="Times New Roman"/>
        </w:rPr>
        <w:t>МЛАС</w:t>
      </w:r>
      <w:r w:rsidRPr="008F0AB1">
        <w:rPr>
          <w:rFonts w:ascii="Times New Roman" w:hAnsi="Times New Roman" w:cs="Times New Roman"/>
        </w:rPr>
        <w:t xml:space="preserve"> высокое спектральное разрешение λ</w:t>
      </w:r>
      <w:r w:rsidR="00F81EDC">
        <w:rPr>
          <w:rFonts w:ascii="Times New Roman" w:hAnsi="Times New Roman" w:cs="Times New Roman"/>
        </w:rPr>
        <w:t> </w:t>
      </w:r>
      <w:r w:rsidRPr="008F0AB1">
        <w:rPr>
          <w:rFonts w:ascii="Times New Roman" w:hAnsi="Times New Roman" w:cs="Times New Roman"/>
        </w:rPr>
        <w:t>/</w:t>
      </w:r>
      <w:r w:rsidR="00F81EDC">
        <w:rPr>
          <w:rFonts w:ascii="Times New Roman" w:hAnsi="Times New Roman" w:cs="Times New Roman"/>
        </w:rPr>
        <w:t> </w:t>
      </w:r>
      <w:r w:rsidRPr="008F0AB1">
        <w:rPr>
          <w:rFonts w:ascii="Times New Roman" w:hAnsi="Times New Roman" w:cs="Times New Roman"/>
        </w:rPr>
        <w:t>Δλ</w:t>
      </w:r>
      <w:r w:rsidR="00F81EDC">
        <w:rPr>
          <w:rFonts w:ascii="Times New Roman" w:hAnsi="Times New Roman" w:cs="Times New Roman"/>
        </w:rPr>
        <w:t> </w:t>
      </w:r>
      <w:r w:rsidRPr="008F0AB1">
        <w:rPr>
          <w:rFonts w:ascii="Times New Roman" w:hAnsi="Times New Roman" w:cs="Times New Roman"/>
        </w:rPr>
        <w:t>~10</w:t>
      </w:r>
      <w:r w:rsidRPr="008F0AB1">
        <w:rPr>
          <w:rFonts w:ascii="Times New Roman" w:hAnsi="Times New Roman" w:cs="Times New Roman"/>
          <w:vertAlign w:val="superscript"/>
        </w:rPr>
        <w:t>7</w:t>
      </w:r>
      <w:r w:rsidRPr="008F0AB1">
        <w:rPr>
          <w:rFonts w:ascii="Times New Roman" w:hAnsi="Times New Roman" w:cs="Times New Roman"/>
        </w:rPr>
        <w:t xml:space="preserve"> способствует высокой чувствительности аппаратуры ИСКРА-В. Расчётная </w:t>
      </w:r>
      <w:r w:rsidR="00872499">
        <w:rPr>
          <w:rFonts w:ascii="Times New Roman" w:hAnsi="Times New Roman" w:cs="Times New Roman"/>
        </w:rPr>
        <w:t xml:space="preserve">аппаратная </w:t>
      </w:r>
      <w:r w:rsidRPr="008F0AB1">
        <w:rPr>
          <w:rFonts w:ascii="Times New Roman" w:hAnsi="Times New Roman" w:cs="Times New Roman"/>
        </w:rPr>
        <w:t>чувствительность к относительному поглощению, порядка 10</w:t>
      </w:r>
      <w:r w:rsidRPr="008F0AB1">
        <w:rPr>
          <w:rFonts w:ascii="Times New Roman" w:hAnsi="Times New Roman" w:cs="Times New Roman"/>
          <w:vertAlign w:val="superscript"/>
        </w:rPr>
        <w:t>-4…-5</w:t>
      </w:r>
      <w:r w:rsidRPr="008F0AB1">
        <w:rPr>
          <w:rFonts w:ascii="Times New Roman" w:hAnsi="Times New Roman" w:cs="Times New Roman"/>
        </w:rPr>
        <w:t xml:space="preserve">, отвечает за динамический диапазон в несколько порядков величины при ожидаемом поглощении </w:t>
      </w:r>
      <w:r w:rsidR="00872499">
        <w:rPr>
          <w:rFonts w:ascii="Times New Roman" w:hAnsi="Times New Roman" w:cs="Times New Roman"/>
        </w:rPr>
        <w:t>на уровне</w:t>
      </w:r>
      <w:r w:rsidRPr="008F0AB1">
        <w:rPr>
          <w:rFonts w:ascii="Times New Roman" w:hAnsi="Times New Roman" w:cs="Times New Roman"/>
        </w:rPr>
        <w:t xml:space="preserve"> нескольких процентов. </w:t>
      </w:r>
      <w:r w:rsidR="002969F9">
        <w:rPr>
          <w:rFonts w:ascii="Times New Roman" w:hAnsi="Times New Roman" w:cs="Times New Roman"/>
        </w:rPr>
        <w:t>Выбор</w:t>
      </w:r>
      <w:r w:rsidRPr="008F0AB1">
        <w:rPr>
          <w:rFonts w:ascii="Times New Roman" w:hAnsi="Times New Roman" w:cs="Times New Roman"/>
        </w:rPr>
        <w:t xml:space="preserve"> спектральных линий с различной силой поглощения позвол</w:t>
      </w:r>
      <w:r w:rsidR="002969F9">
        <w:rPr>
          <w:rFonts w:ascii="Times New Roman" w:hAnsi="Times New Roman" w:cs="Times New Roman"/>
        </w:rPr>
        <w:t>я</w:t>
      </w:r>
      <w:r w:rsidRPr="008F0AB1">
        <w:rPr>
          <w:rFonts w:ascii="Times New Roman" w:hAnsi="Times New Roman" w:cs="Times New Roman"/>
        </w:rPr>
        <w:t>т расширить эффективный динамический диапазон для измерений выбранных молекул и их изотопологов.</w:t>
      </w:r>
    </w:p>
    <w:p w14:paraId="49AD041B" w14:textId="77777777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</w:p>
    <w:sectPr w:rsidR="008F0AB1" w:rsidRPr="008F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619"/>
    <w:multiLevelType w:val="hybridMultilevel"/>
    <w:tmpl w:val="83167B4C"/>
    <w:lvl w:ilvl="0" w:tplc="ACC2F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A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44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86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C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6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1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397CEA"/>
    <w:multiLevelType w:val="hybridMultilevel"/>
    <w:tmpl w:val="EC504E94"/>
    <w:lvl w:ilvl="0" w:tplc="E5860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06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42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66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4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A8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4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DA2641"/>
    <w:multiLevelType w:val="hybridMultilevel"/>
    <w:tmpl w:val="7BB66D04"/>
    <w:lvl w:ilvl="0" w:tplc="D3D6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44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AF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2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0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3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B1"/>
    <w:rsid w:val="001728B6"/>
    <w:rsid w:val="002969F9"/>
    <w:rsid w:val="002D25EE"/>
    <w:rsid w:val="00492D43"/>
    <w:rsid w:val="007C2800"/>
    <w:rsid w:val="007E69A9"/>
    <w:rsid w:val="00872499"/>
    <w:rsid w:val="008F0AB1"/>
    <w:rsid w:val="008F79F4"/>
    <w:rsid w:val="00AB0B28"/>
    <w:rsid w:val="00B15CC0"/>
    <w:rsid w:val="00D568CA"/>
    <w:rsid w:val="00F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C41C"/>
  <w15:chartTrackingRefBased/>
  <w15:docId w15:val="{A7DE0E77-04FD-4F4A-B320-9B60618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A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8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3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t@iki.rs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X1YOGA</dc:creator>
  <cp:keywords/>
  <dc:description/>
  <cp:lastModifiedBy>X1YOGA</cp:lastModifiedBy>
  <cp:revision>7</cp:revision>
  <cp:lastPrinted>2021-04-10T17:21:00Z</cp:lastPrinted>
  <dcterms:created xsi:type="dcterms:W3CDTF">2021-04-10T16:01:00Z</dcterms:created>
  <dcterms:modified xsi:type="dcterms:W3CDTF">2021-04-13T17:16:00Z</dcterms:modified>
</cp:coreProperties>
</file>